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0C47D6" w:rsidRDefault="00202A3D">
      <w:pPr>
        <w:ind w:left="-540" w:firstLine="540"/>
        <w:jc w:val="center"/>
        <w:rPr>
          <w:color w:val="000000"/>
          <w:sz w:val="28"/>
        </w:rPr>
      </w:pPr>
      <w:bookmarkStart w:id="0" w:name="_GoBack"/>
      <w:bookmarkEnd w:id="0"/>
    </w:p>
    <w:p w:rsidR="00202A3D" w:rsidRPr="000C47D6" w:rsidRDefault="00412451">
      <w:pPr>
        <w:ind w:left="-540" w:firstLine="540"/>
        <w:jc w:val="right"/>
        <w:rPr>
          <w:color w:val="000000"/>
          <w:sz w:val="28"/>
        </w:rPr>
      </w:pPr>
      <w:r w:rsidRPr="000C47D6">
        <w:rPr>
          <w:color w:val="000000"/>
          <w:sz w:val="28"/>
        </w:rPr>
        <w:t xml:space="preserve"> </w:t>
      </w:r>
    </w:p>
    <w:p w:rsidR="00202A3D" w:rsidRPr="000C47D6" w:rsidRDefault="00202A3D">
      <w:pPr>
        <w:ind w:left="-540" w:firstLine="540"/>
        <w:jc w:val="center"/>
        <w:rPr>
          <w:color w:val="000000"/>
          <w:sz w:val="28"/>
        </w:rPr>
      </w:pPr>
    </w:p>
    <w:p w:rsidR="00202A3D" w:rsidRPr="000C47D6" w:rsidRDefault="00202A3D">
      <w:pPr>
        <w:ind w:left="-540" w:firstLine="540"/>
        <w:jc w:val="center"/>
        <w:rPr>
          <w:color w:val="000000"/>
          <w:sz w:val="28"/>
        </w:rPr>
      </w:pPr>
    </w:p>
    <w:p w:rsidR="00202A3D" w:rsidRPr="000C47D6" w:rsidRDefault="00412451">
      <w:pPr>
        <w:ind w:left="-540" w:firstLine="540"/>
        <w:jc w:val="center"/>
        <w:rPr>
          <w:color w:val="000000"/>
          <w:sz w:val="28"/>
        </w:rPr>
      </w:pPr>
      <w:r w:rsidRPr="000C47D6">
        <w:rPr>
          <w:color w:val="000000"/>
          <w:sz w:val="28"/>
        </w:rPr>
        <w:t>РОССИЙСКАЯ ФЕДЕРАЦИЯ</w:t>
      </w:r>
    </w:p>
    <w:p w:rsidR="00202A3D" w:rsidRPr="000C47D6" w:rsidRDefault="00412451">
      <w:pPr>
        <w:ind w:left="-540" w:firstLine="540"/>
        <w:jc w:val="center"/>
        <w:rPr>
          <w:color w:val="000000"/>
          <w:sz w:val="28"/>
        </w:rPr>
      </w:pPr>
      <w:r w:rsidRPr="000C47D6">
        <w:rPr>
          <w:color w:val="000000"/>
          <w:sz w:val="28"/>
        </w:rPr>
        <w:t>СОВЕТ ДЕПУТАТОВ</w:t>
      </w:r>
    </w:p>
    <w:p w:rsidR="00202A3D" w:rsidRPr="000C47D6" w:rsidRDefault="00412451">
      <w:pPr>
        <w:ind w:left="-540" w:firstLine="540"/>
        <w:jc w:val="center"/>
        <w:rPr>
          <w:color w:val="000000"/>
          <w:sz w:val="28"/>
        </w:rPr>
      </w:pPr>
      <w:r w:rsidRPr="000C47D6">
        <w:rPr>
          <w:color w:val="000000"/>
          <w:sz w:val="28"/>
        </w:rPr>
        <w:t>ГОРОДСКОГО ОКРУГА СЕРЕБРЯНЫЕ ПРУДЫ</w:t>
      </w:r>
    </w:p>
    <w:p w:rsidR="00202A3D" w:rsidRPr="000C47D6" w:rsidRDefault="00412451">
      <w:pPr>
        <w:ind w:left="-540" w:firstLine="540"/>
        <w:jc w:val="center"/>
        <w:rPr>
          <w:color w:val="000000"/>
          <w:sz w:val="28"/>
        </w:rPr>
      </w:pPr>
      <w:r w:rsidRPr="000C47D6">
        <w:rPr>
          <w:color w:val="000000"/>
          <w:sz w:val="28"/>
        </w:rPr>
        <w:t>МОСКОВСКОЙ ОБЛАСТИ</w:t>
      </w:r>
    </w:p>
    <w:p w:rsidR="00202A3D" w:rsidRPr="000C47D6" w:rsidRDefault="00202A3D">
      <w:pPr>
        <w:ind w:left="-540" w:firstLine="540"/>
        <w:jc w:val="center"/>
        <w:rPr>
          <w:color w:val="000000"/>
          <w:sz w:val="28"/>
        </w:rPr>
      </w:pPr>
    </w:p>
    <w:p w:rsidR="00202A3D" w:rsidRPr="000C47D6" w:rsidRDefault="00202A3D">
      <w:pPr>
        <w:ind w:left="-540" w:firstLine="540"/>
        <w:jc w:val="center"/>
        <w:rPr>
          <w:color w:val="000000"/>
          <w:sz w:val="28"/>
        </w:rPr>
      </w:pPr>
    </w:p>
    <w:p w:rsidR="00202A3D" w:rsidRPr="000C47D6" w:rsidRDefault="00412451">
      <w:pPr>
        <w:ind w:left="-540" w:firstLine="540"/>
        <w:jc w:val="center"/>
        <w:rPr>
          <w:color w:val="000000"/>
          <w:sz w:val="28"/>
          <w:szCs w:val="28"/>
        </w:rPr>
      </w:pPr>
      <w:r w:rsidRPr="000C47D6">
        <w:rPr>
          <w:color w:val="000000"/>
          <w:sz w:val="28"/>
        </w:rPr>
        <w:t>РЕШЕНИЕ</w:t>
      </w:r>
    </w:p>
    <w:p w:rsidR="00202A3D" w:rsidRPr="000C47D6" w:rsidRDefault="00202A3D">
      <w:pPr>
        <w:ind w:left="-540" w:firstLine="540"/>
        <w:jc w:val="center"/>
        <w:rPr>
          <w:color w:val="000000"/>
          <w:sz w:val="28"/>
          <w:szCs w:val="28"/>
        </w:rPr>
      </w:pPr>
    </w:p>
    <w:p w:rsidR="00152195" w:rsidRPr="000C47D6" w:rsidRDefault="00152195">
      <w:pPr>
        <w:ind w:left="-540" w:firstLine="540"/>
        <w:jc w:val="center"/>
        <w:rPr>
          <w:color w:val="000000"/>
          <w:sz w:val="28"/>
          <w:szCs w:val="28"/>
        </w:rPr>
      </w:pPr>
      <w:r w:rsidRPr="000C47D6">
        <w:rPr>
          <w:color w:val="000000"/>
          <w:sz w:val="28"/>
          <w:szCs w:val="28"/>
        </w:rPr>
        <w:t>От 20.12.2024                                                                                      №238/38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sidRPr="000C47D6">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Default="00412451" w:rsidP="009C286F">
      <w:pPr>
        <w:ind w:left="-540" w:firstLine="540"/>
        <w:jc w:val="center"/>
        <w:rPr>
          <w:b/>
          <w:bCs/>
          <w:sz w:val="28"/>
        </w:rPr>
      </w:pPr>
      <w:r>
        <w:rPr>
          <w:b/>
          <w:bCs/>
          <w:sz w:val="28"/>
        </w:rPr>
        <w:t>Статья 1</w:t>
      </w:r>
      <w:r w:rsidR="009C286F">
        <w:rPr>
          <w:b/>
          <w:bCs/>
          <w:sz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w:t>
      </w:r>
      <w:r w:rsidR="000415FA">
        <w:rPr>
          <w:i/>
          <w:sz w:val="28"/>
        </w:rPr>
        <w:t>.03</w:t>
      </w:r>
      <w:r w:rsidR="009C286F">
        <w:rPr>
          <w:i/>
          <w:sz w:val="28"/>
        </w:rPr>
        <w:t>.2025 №</w:t>
      </w:r>
      <w:r w:rsidR="00981D73">
        <w:rPr>
          <w:i/>
          <w:sz w:val="28"/>
        </w:rPr>
        <w:t>312/44</w:t>
      </w:r>
      <w:r w:rsidR="009C286F">
        <w:rPr>
          <w:i/>
          <w:sz w:val="28"/>
        </w:rPr>
        <w:t>)</w:t>
      </w:r>
      <w:r w:rsidR="009C286F">
        <w:rPr>
          <w:b/>
          <w:bCs/>
          <w:color w:val="000000"/>
          <w:sz w:val="28"/>
        </w:rPr>
        <w:t xml:space="preserve"> </w:t>
      </w:r>
    </w:p>
    <w:p w:rsidR="00981D73" w:rsidRPr="00981D73" w:rsidRDefault="00981D73" w:rsidP="00981D73">
      <w:pPr>
        <w:ind w:firstLine="720"/>
        <w:jc w:val="both"/>
        <w:rPr>
          <w:b/>
          <w:bCs/>
          <w:color w:val="000000"/>
          <w:sz w:val="28"/>
          <w:szCs w:val="28"/>
        </w:rPr>
      </w:pPr>
      <w:r w:rsidRPr="00981D73">
        <w:rPr>
          <w:bCs/>
          <w:color w:val="000000"/>
          <w:sz w:val="28"/>
          <w:szCs w:val="28"/>
        </w:rPr>
        <w:t xml:space="preserve">1. </w:t>
      </w:r>
      <w:r w:rsidRPr="00981D73">
        <w:rPr>
          <w:color w:val="000000"/>
          <w:sz w:val="28"/>
          <w:szCs w:val="28"/>
        </w:rPr>
        <w:t>Утвердить основные характеристики бюджета муниципального округа Серебряные Пруды Московской области на 2025 год:</w:t>
      </w:r>
    </w:p>
    <w:p w:rsidR="00981D73" w:rsidRPr="00981D73" w:rsidRDefault="00981D73" w:rsidP="00981D73">
      <w:pPr>
        <w:ind w:firstLine="720"/>
        <w:jc w:val="both"/>
        <w:rPr>
          <w:color w:val="000000"/>
          <w:sz w:val="28"/>
          <w:szCs w:val="28"/>
        </w:rPr>
      </w:pPr>
      <w:r w:rsidRPr="00981D73">
        <w:rPr>
          <w:color w:val="000000"/>
          <w:sz w:val="28"/>
          <w:szCs w:val="28"/>
        </w:rPr>
        <w:t>общий объем доходов бюджета муниципального округа Серебряные Пруды Московской области в сумме 3 113 184,89 тыс. рублей, в том числе объем межбюджетных трансфертов, получаемых из других бюджетов бюджетной системы Российской Федерации в сумме 2 328 370,89 тыс. рублей;</w:t>
      </w:r>
    </w:p>
    <w:p w:rsidR="00981D73" w:rsidRPr="00981D73" w:rsidRDefault="00981D73" w:rsidP="00981D73">
      <w:pPr>
        <w:ind w:firstLine="720"/>
        <w:jc w:val="both"/>
        <w:rPr>
          <w:color w:val="000000"/>
          <w:sz w:val="28"/>
          <w:szCs w:val="28"/>
        </w:rPr>
      </w:pPr>
      <w:r w:rsidRPr="00981D73">
        <w:rPr>
          <w:color w:val="000000"/>
          <w:sz w:val="28"/>
          <w:szCs w:val="28"/>
        </w:rPr>
        <w:t>общий объем расходов бюджета муниципального округа Серебряные Пруды Московской области в сумме 3 371 965,64тыс. рублей;</w:t>
      </w:r>
    </w:p>
    <w:p w:rsidR="00981D73" w:rsidRDefault="00981D73" w:rsidP="00981D73">
      <w:pPr>
        <w:spacing w:line="276" w:lineRule="auto"/>
        <w:ind w:firstLine="709"/>
        <w:jc w:val="both"/>
        <w:rPr>
          <w:bCs/>
          <w:color w:val="FF0000"/>
          <w:sz w:val="28"/>
          <w:szCs w:val="28"/>
        </w:rPr>
      </w:pPr>
      <w:r w:rsidRPr="00981D73">
        <w:rPr>
          <w:bCs/>
          <w:color w:val="000000"/>
          <w:sz w:val="28"/>
          <w:szCs w:val="28"/>
        </w:rPr>
        <w:t xml:space="preserve">Дефицит бюджета </w:t>
      </w:r>
      <w:r w:rsidRPr="00981D73">
        <w:rPr>
          <w:color w:val="000000"/>
          <w:sz w:val="28"/>
          <w:szCs w:val="28"/>
        </w:rPr>
        <w:t xml:space="preserve">муниципального округа Серебряные Пруды </w:t>
      </w:r>
      <w:r w:rsidRPr="00981D73">
        <w:rPr>
          <w:bCs/>
          <w:color w:val="000000"/>
          <w:sz w:val="28"/>
          <w:szCs w:val="28"/>
        </w:rPr>
        <w:t>Московской области составил 258 780,75 рублей.</w:t>
      </w:r>
    </w:p>
    <w:p w:rsidR="00981D73" w:rsidRPr="00981D73" w:rsidRDefault="00981D73" w:rsidP="00981D73">
      <w:pPr>
        <w:ind w:firstLine="720"/>
        <w:jc w:val="both"/>
        <w:rPr>
          <w:color w:val="000000"/>
          <w:sz w:val="28"/>
          <w:szCs w:val="28"/>
        </w:rPr>
      </w:pPr>
      <w:r w:rsidRPr="00981D73">
        <w:rPr>
          <w:color w:val="000000"/>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981D73" w:rsidRPr="00981D73" w:rsidRDefault="00981D73" w:rsidP="00981D73">
      <w:pPr>
        <w:ind w:firstLine="720"/>
        <w:jc w:val="both"/>
        <w:rPr>
          <w:color w:val="000000"/>
          <w:sz w:val="28"/>
          <w:szCs w:val="28"/>
        </w:rPr>
      </w:pPr>
      <w:r w:rsidRPr="00981D73">
        <w:rPr>
          <w:color w:val="000000"/>
          <w:sz w:val="28"/>
          <w:szCs w:val="28"/>
        </w:rPr>
        <w:t xml:space="preserve">общий объем доходов бюджета муниципального округа Серебряные Пруды Московской области на 2026 год в сумме 2 343 916,97 тыс. рублей, в том числе объем межбюджетных трансфертов, получаемых из других бюджетов бюджетной системы Российской Федерации, в сумме 1 562 271,97 тыс. рублей и на 2027 год в сумме 2 459 043,52 тыс. рублей, в том числе объем межбюджетных трансфертов, </w:t>
      </w:r>
      <w:r w:rsidRPr="00981D73">
        <w:rPr>
          <w:color w:val="000000"/>
          <w:sz w:val="28"/>
          <w:szCs w:val="28"/>
        </w:rPr>
        <w:lastRenderedPageBreak/>
        <w:t>получаемых из других бюджетов бюджетной системы Российской Федерации в сумме 1 605 462,52 тыс. рублей;</w:t>
      </w:r>
    </w:p>
    <w:p w:rsidR="00981D73" w:rsidRPr="00981D73" w:rsidRDefault="00981D73" w:rsidP="00981D73">
      <w:pPr>
        <w:ind w:firstLine="720"/>
        <w:jc w:val="both"/>
        <w:rPr>
          <w:color w:val="000000"/>
          <w:sz w:val="28"/>
          <w:szCs w:val="28"/>
        </w:rPr>
      </w:pPr>
      <w:r w:rsidRPr="00981D73">
        <w:rPr>
          <w:color w:val="000000"/>
          <w:sz w:val="28"/>
          <w:szCs w:val="28"/>
        </w:rPr>
        <w:t>общий объем расходов бюджета муниципального округа Серебряные Пруды Московской области на 2026 год в сумме 2 324 285,97 тыс. рублей, в том числе условно утвержденные расходы в сумме 38 888,10 тыс. рублей и на 2027 год в сумме 2 439 412,52 тыс. рублей, в том числе условно утвержденные расходы в сумме 78 498,70 тыс. рублей;</w:t>
      </w:r>
    </w:p>
    <w:p w:rsidR="00981D73" w:rsidRPr="00981D73" w:rsidRDefault="00981D73" w:rsidP="00981D73">
      <w:pPr>
        <w:ind w:firstLine="720"/>
        <w:jc w:val="both"/>
        <w:rPr>
          <w:color w:val="000000"/>
          <w:sz w:val="28"/>
          <w:szCs w:val="28"/>
        </w:rPr>
      </w:pPr>
      <w:r w:rsidRPr="00981D73">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202A3D" w:rsidRDefault="00981D73" w:rsidP="00981D73">
      <w:pPr>
        <w:ind w:firstLine="720"/>
        <w:jc w:val="both"/>
        <w:rPr>
          <w:color w:val="000000"/>
          <w:sz w:val="28"/>
          <w:szCs w:val="28"/>
        </w:rPr>
      </w:pPr>
      <w:r w:rsidRPr="00981D73">
        <w:rPr>
          <w:color w:val="000000"/>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0415FA" w:rsidRDefault="000415FA" w:rsidP="000415FA">
      <w:pPr>
        <w:ind w:firstLine="720"/>
        <w:jc w:val="both"/>
        <w:rPr>
          <w:color w:val="FF0000"/>
          <w:sz w:val="28"/>
          <w:szCs w:val="28"/>
        </w:rPr>
      </w:pPr>
    </w:p>
    <w:p w:rsidR="00202A3D" w:rsidRDefault="00412451">
      <w:pPr>
        <w:ind w:firstLine="720"/>
        <w:jc w:val="both"/>
        <w:rPr>
          <w:sz w:val="28"/>
          <w:szCs w:val="28"/>
        </w:rPr>
      </w:pPr>
      <w:r>
        <w:rPr>
          <w:b/>
          <w:sz w:val="28"/>
          <w:szCs w:val="28"/>
        </w:rPr>
        <w:t>Статья 2</w:t>
      </w:r>
      <w:r>
        <w:rPr>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Default="00412451" w:rsidP="009C286F">
      <w:pPr>
        <w:ind w:firstLine="720"/>
        <w:jc w:val="both"/>
        <w:rPr>
          <w:sz w:val="28"/>
          <w:szCs w:val="28"/>
        </w:rPr>
      </w:pPr>
      <w:r>
        <w:rPr>
          <w:b/>
          <w:bCs/>
          <w:sz w:val="28"/>
          <w:szCs w:val="28"/>
        </w:rPr>
        <w:t>Статья 3</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9C286F" w:rsidRDefault="00412451" w:rsidP="009C286F">
      <w:pPr>
        <w:ind w:firstLine="720"/>
        <w:jc w:val="both"/>
        <w:rPr>
          <w:b/>
          <w:bCs/>
          <w:sz w:val="28"/>
          <w:szCs w:val="28"/>
        </w:rPr>
      </w:pPr>
      <w:r>
        <w:rPr>
          <w:b/>
          <w:bCs/>
          <w:sz w:val="28"/>
          <w:szCs w:val="28"/>
        </w:rPr>
        <w:t>Статья   4</w:t>
      </w:r>
      <w:r w:rsidR="00152195">
        <w:rPr>
          <w:b/>
          <w:bCs/>
          <w:sz w:val="28"/>
          <w:szCs w:val="28"/>
        </w:rPr>
        <w:t xml:space="preserve"> </w:t>
      </w:r>
      <w:r w:rsidR="00152195">
        <w:rPr>
          <w:bCs/>
          <w:i/>
          <w:sz w:val="28"/>
        </w:rPr>
        <w:t>(</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9C286F" w:rsidP="009C286F">
      <w:pPr>
        <w:jc w:val="center"/>
        <w:rPr>
          <w:sz w:val="28"/>
          <w:szCs w:val="28"/>
        </w:rPr>
      </w:pPr>
      <w:r>
        <w:rPr>
          <w:sz w:val="28"/>
          <w:szCs w:val="28"/>
        </w:rPr>
        <w:t xml:space="preserve">    </w:t>
      </w:r>
      <w:r w:rsidR="00412451">
        <w:rPr>
          <w:sz w:val="28"/>
          <w:szCs w:val="28"/>
        </w:rPr>
        <w:t>Утвердить ведомственную структуру расходов бюджета муниципального округа Серебряные Пруды Московской области н</w:t>
      </w:r>
      <w:r>
        <w:rPr>
          <w:sz w:val="28"/>
          <w:szCs w:val="28"/>
        </w:rPr>
        <w:t xml:space="preserve">а 2025 год и на плановый период </w:t>
      </w:r>
      <w:r w:rsidR="00412451">
        <w:rPr>
          <w:sz w:val="28"/>
          <w:szCs w:val="28"/>
        </w:rPr>
        <w:t>2026 и 2027 годов согласно приложению</w:t>
      </w:r>
      <w:r w:rsidR="00412451">
        <w:rPr>
          <w:sz w:val="28"/>
          <w:szCs w:val="28"/>
          <w:shd w:val="clear" w:color="auto" w:fill="FFFFFF"/>
        </w:rPr>
        <w:t xml:space="preserve"> 3 </w:t>
      </w:r>
      <w:r w:rsidR="00412451">
        <w:rPr>
          <w:sz w:val="28"/>
          <w:szCs w:val="28"/>
        </w:rPr>
        <w:t>к настоящему решению.</w:t>
      </w:r>
    </w:p>
    <w:p w:rsidR="00202A3D" w:rsidRDefault="00202A3D" w:rsidP="009C286F">
      <w:pPr>
        <w:shd w:val="clear" w:color="auto" w:fill="FFFFFF"/>
        <w:jc w:val="both"/>
        <w:rPr>
          <w:sz w:val="28"/>
          <w:szCs w:val="28"/>
        </w:rPr>
      </w:pPr>
    </w:p>
    <w:p w:rsidR="00202A3D" w:rsidRDefault="00412451">
      <w:pPr>
        <w:ind w:firstLine="720"/>
        <w:jc w:val="both"/>
        <w:rPr>
          <w:b/>
          <w:sz w:val="28"/>
          <w:szCs w:val="28"/>
        </w:rPr>
      </w:pPr>
      <w:r>
        <w:rPr>
          <w:b/>
          <w:sz w:val="28"/>
          <w:szCs w:val="28"/>
        </w:rPr>
        <w:t>Статья 5</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9C286F" w:rsidRDefault="00412451" w:rsidP="009C286F">
      <w:pPr>
        <w:ind w:firstLine="720"/>
        <w:jc w:val="both"/>
        <w:rPr>
          <w:b/>
          <w:bCs/>
          <w:sz w:val="28"/>
          <w:szCs w:val="28"/>
        </w:rPr>
      </w:pPr>
      <w:r>
        <w:rPr>
          <w:b/>
          <w:sz w:val="28"/>
          <w:szCs w:val="28"/>
        </w:rPr>
        <w:t>Статья 6</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202A3D">
      <w:pPr>
        <w:ind w:firstLine="540"/>
        <w:jc w:val="both"/>
        <w:rPr>
          <w:b/>
          <w:sz w:val="28"/>
          <w:szCs w:val="28"/>
        </w:rPr>
      </w:pPr>
    </w:p>
    <w:p w:rsidR="00202A3D" w:rsidRDefault="00412451">
      <w:pPr>
        <w:ind w:firstLine="540"/>
        <w:jc w:val="both"/>
        <w:rPr>
          <w:sz w:val="28"/>
          <w:szCs w:val="28"/>
        </w:rPr>
      </w:pPr>
      <w:r>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9C286F" w:rsidRDefault="00412451" w:rsidP="009C286F">
      <w:pPr>
        <w:ind w:left="-540" w:firstLine="540"/>
        <w:jc w:val="center"/>
        <w:rPr>
          <w:b/>
          <w:bCs/>
          <w:sz w:val="28"/>
        </w:rPr>
      </w:pPr>
      <w:r>
        <w:rPr>
          <w:b/>
          <w:bCs/>
          <w:sz w:val="28"/>
          <w:szCs w:val="28"/>
        </w:rPr>
        <w:t>Статья    7</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r w:rsidR="009C286F">
        <w:rPr>
          <w:b/>
          <w:bCs/>
          <w:color w:val="000000"/>
          <w:sz w:val="28"/>
        </w:rPr>
        <w:t xml:space="preserve"> </w:t>
      </w:r>
    </w:p>
    <w:p w:rsidR="009C286F" w:rsidRDefault="009C286F" w:rsidP="009C286F">
      <w:pPr>
        <w:jc w:val="both"/>
        <w:rPr>
          <w:sz w:val="28"/>
          <w:szCs w:val="28"/>
          <w:highlight w:val="white"/>
        </w:rPr>
      </w:pPr>
      <w:r>
        <w:rPr>
          <w:b/>
          <w:bCs/>
          <w:sz w:val="28"/>
          <w:szCs w:val="28"/>
        </w:rPr>
        <w:t xml:space="preserve">        </w:t>
      </w: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Default="009C286F" w:rsidP="009C286F">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9C286F" w:rsidP="009C286F">
      <w:pPr>
        <w:ind w:firstLine="720"/>
        <w:jc w:val="both"/>
        <w:rPr>
          <w:sz w:val="28"/>
          <w:szCs w:val="28"/>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Pr>
          <w:sz w:val="28"/>
          <w:szCs w:val="28"/>
        </w:rPr>
        <w:t>.</w:t>
      </w:r>
    </w:p>
    <w:p w:rsidR="009C286F" w:rsidRDefault="009C286F" w:rsidP="009C286F">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sz w:val="28"/>
          <w:szCs w:val="28"/>
        </w:rPr>
      </w:pPr>
      <w:r w:rsidRPr="009C286F">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color w:val="000000"/>
          <w:sz w:val="28"/>
          <w:szCs w:val="28"/>
        </w:rPr>
      </w:pPr>
      <w:r w:rsidRPr="009C286F">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9C286F">
        <w:rPr>
          <w:bCs/>
          <w:color w:val="000000"/>
          <w:sz w:val="28"/>
          <w:szCs w:val="28"/>
          <w:highlight w:val="white"/>
        </w:rPr>
        <w:t>в размере 539,30 тыс.</w:t>
      </w:r>
      <w:r w:rsidRPr="009C286F">
        <w:rPr>
          <w:color w:val="000000"/>
          <w:sz w:val="28"/>
          <w:szCs w:val="28"/>
          <w:highlight w:val="white"/>
        </w:rPr>
        <w:t xml:space="preserve"> рублей, на 2026 год </w:t>
      </w:r>
      <w:r w:rsidRPr="009C286F">
        <w:rPr>
          <w:bCs/>
          <w:color w:val="000000"/>
          <w:sz w:val="28"/>
          <w:szCs w:val="28"/>
          <w:highlight w:val="white"/>
        </w:rPr>
        <w:t>в размере 5 631,30 тыс.</w:t>
      </w:r>
      <w:r w:rsidRPr="009C286F">
        <w:rPr>
          <w:color w:val="000000"/>
          <w:sz w:val="28"/>
          <w:szCs w:val="28"/>
          <w:highlight w:val="white"/>
        </w:rPr>
        <w:t xml:space="preserve"> рублей, на 2027 год </w:t>
      </w:r>
      <w:r w:rsidRPr="009C286F">
        <w:rPr>
          <w:bCs/>
          <w:color w:val="000000"/>
          <w:sz w:val="28"/>
          <w:szCs w:val="28"/>
          <w:highlight w:val="white"/>
        </w:rPr>
        <w:t>в размере 5 296,00 тыс.</w:t>
      </w:r>
      <w:r w:rsidRPr="009C286F">
        <w:rPr>
          <w:color w:val="000000"/>
          <w:sz w:val="28"/>
          <w:szCs w:val="28"/>
          <w:highlight w:val="white"/>
        </w:rPr>
        <w:t xml:space="preserve"> рублей</w:t>
      </w:r>
      <w:r>
        <w:rPr>
          <w:color w:val="000000"/>
          <w:sz w:val="28"/>
          <w:szCs w:val="28"/>
        </w:rPr>
        <w:t>.</w:t>
      </w:r>
    </w:p>
    <w:p w:rsidR="009C286F" w:rsidRDefault="009C286F">
      <w:pPr>
        <w:ind w:firstLine="720"/>
        <w:jc w:val="both"/>
        <w:rPr>
          <w:color w:val="FF0000"/>
          <w:sz w:val="28"/>
          <w:szCs w:val="28"/>
        </w:rPr>
      </w:pPr>
    </w:p>
    <w:p w:rsidR="00202A3D" w:rsidRDefault="00412451">
      <w:pPr>
        <w:ind w:firstLine="720"/>
        <w:jc w:val="both"/>
        <w:rPr>
          <w:b/>
          <w:sz w:val="28"/>
          <w:szCs w:val="28"/>
        </w:rPr>
      </w:pPr>
      <w:r>
        <w:rPr>
          <w:b/>
          <w:bCs/>
          <w:sz w:val="28"/>
          <w:szCs w:val="28"/>
        </w:rPr>
        <w:t>Статья 10</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7F6484">
        <w:rPr>
          <w:i/>
          <w:sz w:val="28"/>
        </w:rPr>
        <w:t>05.02.2025 №278/41</w:t>
      </w:r>
      <w:r w:rsidR="009C286F">
        <w:rPr>
          <w:i/>
          <w:sz w:val="28"/>
        </w:rPr>
        <w:t>)</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202A3D" w:rsidRDefault="00412451">
      <w:pPr>
        <w:ind w:firstLine="720"/>
        <w:jc w:val="both"/>
        <w:rPr>
          <w:b/>
          <w:bCs/>
          <w:sz w:val="28"/>
          <w:szCs w:val="28"/>
        </w:rPr>
      </w:pPr>
      <w:r>
        <w:rPr>
          <w:b/>
          <w:bCs/>
          <w:sz w:val="28"/>
          <w:szCs w:val="28"/>
        </w:rPr>
        <w:t>Статья 11</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81D73">
        <w:rPr>
          <w:i/>
          <w:sz w:val="28"/>
        </w:rPr>
        <w:t>17.03.2025 №312/44</w:t>
      </w:r>
      <w:r w:rsidR="009C286F">
        <w:rPr>
          <w:i/>
          <w:sz w:val="28"/>
        </w:rPr>
        <w:t>)</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lastRenderedPageBreak/>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9C286F" w:rsidRDefault="009C286F" w:rsidP="009C286F">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Default="00202A3D">
      <w:pPr>
        <w:ind w:firstLine="720"/>
        <w:jc w:val="both"/>
        <w:rPr>
          <w:b/>
          <w:bCs/>
          <w:sz w:val="28"/>
          <w:szCs w:val="28"/>
        </w:rPr>
      </w:pPr>
    </w:p>
    <w:p w:rsidR="00202A3D" w:rsidRDefault="00412451" w:rsidP="00152195">
      <w:pPr>
        <w:ind w:left="-540" w:firstLine="540"/>
        <w:jc w:val="center"/>
        <w:rPr>
          <w:b/>
          <w:bCs/>
          <w:sz w:val="28"/>
          <w:szCs w:val="28"/>
        </w:rPr>
      </w:pPr>
      <w:r>
        <w:rPr>
          <w:b/>
          <w:bCs/>
          <w:sz w:val="28"/>
          <w:szCs w:val="28"/>
        </w:rPr>
        <w:t>Статья 14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202A3D" w:rsidRDefault="00412451">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202A3D" w:rsidRDefault="00412451">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202A3D" w:rsidRDefault="00412451">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202A3D" w:rsidRDefault="00202A3D">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w:t>
      </w:r>
      <w:r>
        <w:rPr>
          <w:sz w:val="28"/>
        </w:rPr>
        <w:lastRenderedPageBreak/>
        <w:t>управления</w:t>
      </w:r>
      <w:r>
        <w:rPr>
          <w:sz w:val="28"/>
          <w:highlight w:val="white"/>
        </w:rPr>
        <w:t xml:space="preserve"> администрации городского</w:t>
      </w:r>
      <w:r w:rsidRPr="000C47D6">
        <w:rPr>
          <w:color w:val="000000"/>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0C47D6" w:rsidRDefault="00202A3D">
      <w:pPr>
        <w:ind w:firstLine="540"/>
        <w:jc w:val="both"/>
        <w:rPr>
          <w:color w:val="000000"/>
          <w:sz w:val="28"/>
        </w:rPr>
      </w:pPr>
    </w:p>
    <w:p w:rsidR="00202A3D" w:rsidRPr="000C47D6" w:rsidRDefault="00412451">
      <w:pPr>
        <w:shd w:val="clear" w:color="auto" w:fill="FFFFFF"/>
        <w:ind w:firstLine="720"/>
        <w:jc w:val="both"/>
        <w:rPr>
          <w:b/>
          <w:color w:val="000000"/>
          <w:sz w:val="28"/>
          <w:szCs w:val="28"/>
        </w:rPr>
      </w:pPr>
      <w:r w:rsidRPr="000C47D6">
        <w:rPr>
          <w:b/>
          <w:color w:val="000000"/>
          <w:sz w:val="28"/>
          <w:szCs w:val="28"/>
        </w:rPr>
        <w:t xml:space="preserve">Статья </w:t>
      </w:r>
      <w:r w:rsidRPr="000C47D6">
        <w:rPr>
          <w:b/>
          <w:bCs/>
          <w:color w:val="000000"/>
          <w:sz w:val="28"/>
          <w:szCs w:val="28"/>
        </w:rPr>
        <w:t>16</w:t>
      </w:r>
      <w:r w:rsidR="009C286F" w:rsidRPr="000C47D6">
        <w:rPr>
          <w:b/>
          <w:bCs/>
          <w:color w:val="000000"/>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2025 год в размере 346 467,73 тыс. рублей;</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2026 год в размере 127 685,95 тыс. рублей;</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2027 год в размере 131 169,00 тыс. рублей.</w:t>
      </w:r>
    </w:p>
    <w:p w:rsidR="00202A3D" w:rsidRDefault="000415FA" w:rsidP="000415FA">
      <w:pPr>
        <w:ind w:firstLine="720"/>
        <w:jc w:val="both"/>
        <w:rPr>
          <w:color w:val="000000"/>
          <w:sz w:val="28"/>
          <w:szCs w:val="28"/>
        </w:rPr>
      </w:pPr>
      <w:r w:rsidRPr="000415FA">
        <w:rPr>
          <w:color w:val="000000"/>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p>
    <w:p w:rsidR="000415FA" w:rsidRPr="000C47D6" w:rsidRDefault="000415FA" w:rsidP="000415FA">
      <w:pPr>
        <w:ind w:firstLine="720"/>
        <w:jc w:val="both"/>
        <w:rPr>
          <w:color w:val="000000"/>
          <w:sz w:val="28"/>
          <w:szCs w:val="28"/>
        </w:rPr>
      </w:pPr>
    </w:p>
    <w:p w:rsidR="00202A3D" w:rsidRDefault="00412451">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 xml:space="preserve">Установить, что поступившая в бюджет муниципального округа Серебряные Пруды Московской области плата за негативное воздействие на </w:t>
      </w:r>
      <w:r>
        <w:rPr>
          <w:sz w:val="28"/>
          <w:szCs w:val="28"/>
        </w:rPr>
        <w:lastRenderedPageBreak/>
        <w:t>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202A3D" w:rsidRDefault="00412451">
      <w:pPr>
        <w:spacing w:line="276" w:lineRule="auto"/>
        <w:ind w:firstLine="709"/>
        <w:jc w:val="both"/>
        <w:rPr>
          <w:bCs/>
          <w:color w:val="FF0000"/>
          <w:sz w:val="28"/>
          <w:szCs w:val="28"/>
        </w:rPr>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p>
    <w:p w:rsidR="00202A3D" w:rsidRDefault="00412451">
      <w:pPr>
        <w:pStyle w:val="9"/>
        <w:rPr>
          <w:b/>
          <w:bCs/>
          <w:color w:val="FF0000"/>
          <w:szCs w:val="28"/>
        </w:rPr>
      </w:pPr>
      <w:r>
        <w:rPr>
          <w:b/>
          <w:bCs/>
          <w:color w:val="FF0000"/>
          <w:szCs w:val="28"/>
        </w:rPr>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 xml:space="preserve">муниципального округа Серебряные Пруды Московской области от </w:t>
      </w:r>
      <w:r w:rsidR="009C286F">
        <w:rPr>
          <w:i/>
          <w:sz w:val="28"/>
        </w:rPr>
        <w:t>05.02.2025 №278/41</w:t>
      </w:r>
      <w:r w:rsidR="00152195">
        <w:rPr>
          <w:i/>
          <w:sz w:val="28"/>
        </w:rPr>
        <w:t>)</w:t>
      </w:r>
      <w:r w:rsidR="00152195">
        <w:rPr>
          <w:b/>
          <w:bCs/>
          <w:color w:val="000000"/>
          <w:sz w:val="28"/>
        </w:rPr>
        <w:t xml:space="preserve"> </w:t>
      </w:r>
    </w:p>
    <w:p w:rsidR="009C286F" w:rsidRDefault="009C286F" w:rsidP="009C286F">
      <w:pPr>
        <w:tabs>
          <w:tab w:val="left" w:pos="2109"/>
        </w:tabs>
        <w:ind w:firstLine="720"/>
        <w:jc w:val="both"/>
        <w:rPr>
          <w:sz w:val="28"/>
          <w:szCs w:val="28"/>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p>
    <w:p w:rsidR="00202A3D" w:rsidRDefault="00412451">
      <w:pPr>
        <w:tabs>
          <w:tab w:val="left" w:pos="2109"/>
        </w:tabs>
        <w:ind w:firstLine="720"/>
        <w:rPr>
          <w:b/>
          <w:bCs/>
          <w:color w:val="FF0000"/>
          <w:sz w:val="28"/>
          <w:szCs w:val="28"/>
          <w:highlight w:val="white"/>
        </w:rPr>
      </w:pPr>
      <w:r>
        <w:rPr>
          <w:color w:val="FF0000"/>
          <w:highlight w:val="white"/>
        </w:rPr>
        <w:lastRenderedPageBreak/>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rsidP="009C286F">
      <w:pPr>
        <w:ind w:firstLine="720"/>
        <w:jc w:val="both"/>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9C286F" w:rsidRDefault="00412451">
      <w:pPr>
        <w:jc w:val="both"/>
        <w:rPr>
          <w:b/>
          <w:bCs/>
          <w:sz w:val="28"/>
          <w:szCs w:val="28"/>
        </w:rPr>
      </w:pPr>
      <w:r>
        <w:rPr>
          <w:b/>
          <w:bCs/>
          <w:sz w:val="28"/>
          <w:szCs w:val="28"/>
        </w:rPr>
        <w:t xml:space="preserve">         </w:t>
      </w:r>
    </w:p>
    <w:p w:rsidR="00202A3D" w:rsidRDefault="009C286F">
      <w:pPr>
        <w:jc w:val="both"/>
        <w:rPr>
          <w:b/>
          <w:bCs/>
          <w:iCs/>
          <w:sz w:val="28"/>
          <w:szCs w:val="28"/>
        </w:rPr>
      </w:pPr>
      <w:r>
        <w:rPr>
          <w:b/>
          <w:bCs/>
          <w:sz w:val="28"/>
          <w:szCs w:val="28"/>
        </w:rPr>
        <w:lastRenderedPageBreak/>
        <w:t xml:space="preserve">        </w:t>
      </w:r>
      <w:r w:rsidR="00412451">
        <w:rPr>
          <w:b/>
          <w:bCs/>
          <w:sz w:val="28"/>
          <w:szCs w:val="28"/>
        </w:rPr>
        <w:t>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7D6" w:rsidRDefault="000C47D6">
      <w:r>
        <w:separator/>
      </w:r>
    </w:p>
  </w:endnote>
  <w:endnote w:type="continuationSeparator" w:id="0">
    <w:p w:rsidR="000C47D6" w:rsidRDefault="000C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7D6" w:rsidRDefault="000C47D6">
      <w:r>
        <w:separator/>
      </w:r>
    </w:p>
  </w:footnote>
  <w:footnote w:type="continuationSeparator" w:id="0">
    <w:p w:rsidR="000C47D6" w:rsidRDefault="000C4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0415FA"/>
    <w:rsid w:val="000C47D6"/>
    <w:rsid w:val="00152195"/>
    <w:rsid w:val="00202A3D"/>
    <w:rsid w:val="003B0696"/>
    <w:rsid w:val="00412451"/>
    <w:rsid w:val="007F6484"/>
    <w:rsid w:val="00981D73"/>
    <w:rsid w:val="009C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2797</Words>
  <Characters>15949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2025-03-21T14:32:00Z</dcterms:created>
  <dcterms:modified xsi:type="dcterms:W3CDTF">2025-03-21T14:32:00Z</dcterms:modified>
  <cp:version>730895</cp:version>
</cp:coreProperties>
</file>